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362D16" w:rsidP="00736D09">
            <w:pPr>
              <w:rPr>
                <w:b/>
                <w:noProof/>
                <w:sz w:val="16"/>
                <w:szCs w:val="16"/>
              </w:rPr>
            </w:pPr>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 xml:space="preserve">Physical Education Concentration &amp; </w:t>
            </w:r>
            <w:r w:rsidR="00B5433A" w:rsidRPr="000874DE">
              <w:rPr>
                <w:rFonts w:ascii="Arial" w:hAnsi="Arial" w:cs="Arial"/>
                <w:b/>
              </w:rPr>
              <w:t>Health</w:t>
            </w:r>
            <w:r w:rsidR="00B87DD3" w:rsidRPr="000874DE">
              <w:rPr>
                <w:rFonts w:ascii="Arial" w:hAnsi="Arial" w:cs="Arial"/>
                <w:b/>
              </w:rPr>
              <w:t xml:space="preserve"> Education</w:t>
            </w:r>
            <w:r w:rsidR="00B5433A" w:rsidRPr="000874DE">
              <w:rPr>
                <w:rFonts w:ascii="Arial" w:hAnsi="Arial" w:cs="Arial"/>
                <w:b/>
              </w:rPr>
              <w:t xml:space="preserve"> Concentration</w:t>
            </w:r>
            <w:r w:rsidR="00B87DD3" w:rsidRPr="000874DE">
              <w:rPr>
                <w:rFonts w:ascii="Arial" w:hAnsi="Arial" w:cs="Arial"/>
                <w:b/>
              </w:rPr>
              <w:t xml:space="preserve"> &amp; Coaching Authorization/Certificate</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r w:rsidR="00354933">
              <w:rPr>
                <w:rFonts w:ascii="Arial" w:hAnsi="Arial" w:cs="Arial"/>
                <w:b/>
              </w:rPr>
              <w:t xml:space="preserve"> Option 2</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AD71B1"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5E5E4F">
            <w:pPr>
              <w:jc w:val="center"/>
              <w:rPr>
                <w:rFonts w:ascii="Arial" w:hAnsi="Arial" w:cs="Arial"/>
                <w:b/>
                <w:sz w:val="16"/>
                <w:szCs w:val="16"/>
              </w:rPr>
            </w:pPr>
            <w:r>
              <w:rPr>
                <w:rFonts w:ascii="Arial" w:hAnsi="Arial" w:cs="Arial"/>
                <w:b/>
                <w:sz w:val="16"/>
                <w:szCs w:val="16"/>
              </w:rPr>
              <w:t>18</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362D16">
            <w:pPr>
              <w:rPr>
                <w:rFonts w:ascii="Arial" w:hAnsi="Arial" w:cs="Arial"/>
                <w:b/>
                <w:sz w:val="16"/>
                <w:szCs w:val="16"/>
              </w:rPr>
            </w:pPr>
            <w:r>
              <w:rPr>
                <w:rFonts w:ascii="Arial" w:hAnsi="Arial" w:cs="Arial"/>
                <w:b/>
                <w:sz w:val="16"/>
                <w:szCs w:val="16"/>
              </w:rPr>
              <w:t>EDUC</w:t>
            </w:r>
            <w:r w:rsidR="00362D16">
              <w:rPr>
                <w:rFonts w:ascii="Arial" w:hAnsi="Arial" w:cs="Arial"/>
                <w:b/>
                <w:sz w:val="16"/>
                <w:szCs w:val="16"/>
              </w:rPr>
              <w:t>2120</w:t>
            </w:r>
            <w:r>
              <w:rPr>
                <w:rFonts w:ascii="Arial" w:hAnsi="Arial" w:cs="Arial"/>
                <w:b/>
                <w:sz w:val="16"/>
                <w:szCs w:val="16"/>
              </w:rPr>
              <w:t xml:space="preserve">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HLTH2560 Nutrition</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567ACB" w:rsidP="005E5E4F">
            <w:pPr>
              <w:rPr>
                <w:rFonts w:ascii="Arial" w:hAnsi="Arial" w:cs="Arial"/>
                <w:b/>
                <w:sz w:val="16"/>
                <w:szCs w:val="16"/>
              </w:rPr>
            </w:pPr>
            <w:r w:rsidRPr="00B80112">
              <w:rPr>
                <w:rFonts w:ascii="Arial" w:hAnsi="Arial" w:cs="Arial"/>
                <w:b/>
                <w:sz w:val="16"/>
                <w:szCs w:val="16"/>
              </w:rPr>
              <w:t>HLTH3900 Adv. Topics in Health**</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4B1FFD">
            <w:pPr>
              <w:rPr>
                <w:rFonts w:ascii="Arial" w:hAnsi="Arial" w:cs="Arial"/>
                <w:b/>
                <w:sz w:val="16"/>
                <w:szCs w:val="16"/>
              </w:rPr>
            </w:pPr>
            <w:r w:rsidRPr="00B80112">
              <w:rPr>
                <w:rFonts w:ascii="Arial" w:hAnsi="Arial" w:cs="Arial"/>
                <w:b/>
                <w:sz w:val="16"/>
                <w:szCs w:val="16"/>
              </w:rPr>
              <w:t>HLTH2410 Children’s Health and Development – K-</w:t>
            </w:r>
            <w:r w:rsidR="004B1FFD">
              <w:rPr>
                <w:rFonts w:ascii="Arial" w:hAnsi="Arial" w:cs="Arial"/>
                <w:b/>
                <w:sz w:val="16"/>
                <w:szCs w:val="16"/>
              </w:rPr>
              <w:t>8</w:t>
            </w:r>
            <w:r w:rsidRPr="00B80112">
              <w:rPr>
                <w:rFonts w:ascii="Arial" w:hAnsi="Arial" w:cs="Arial"/>
                <w:b/>
                <w:sz w:val="16"/>
                <w:szCs w:val="16"/>
              </w:rPr>
              <w:t xml:space="preserve">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BA7F3B">
            <w:pPr>
              <w:rPr>
                <w:rFonts w:ascii="Arial" w:hAnsi="Arial" w:cs="Arial"/>
                <w:b/>
                <w:sz w:val="16"/>
                <w:szCs w:val="16"/>
              </w:rPr>
            </w:pPr>
            <w:r>
              <w:rPr>
                <w:rFonts w:ascii="Arial" w:hAnsi="Arial" w:cs="Arial"/>
                <w:b/>
                <w:sz w:val="16"/>
                <w:szCs w:val="16"/>
              </w:rPr>
              <w:t>PHED2380 Creative Rhythm and Movement</w:t>
            </w:r>
          </w:p>
        </w:tc>
        <w:tc>
          <w:tcPr>
            <w:tcW w:w="661"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AD71B1" w:rsidP="005E5E4F">
            <w:pPr>
              <w:rPr>
                <w:rFonts w:ascii="Arial" w:hAnsi="Arial" w:cs="Arial"/>
                <w:b/>
                <w:sz w:val="16"/>
                <w:szCs w:val="16"/>
              </w:rPr>
            </w:pPr>
            <w:r w:rsidRPr="00292AEE">
              <w:rPr>
                <w:rFonts w:ascii="Arial" w:hAnsi="Arial" w:cs="Arial"/>
                <w:b/>
                <w:sz w:val="16"/>
                <w:szCs w:val="16"/>
              </w:rPr>
              <w:t>HLTH3300</w:t>
            </w:r>
            <w:r w:rsidR="008B5B98">
              <w:rPr>
                <w:rFonts w:ascii="Arial" w:hAnsi="Arial" w:cs="Arial"/>
                <w:b/>
                <w:sz w:val="16"/>
                <w:szCs w:val="16"/>
              </w:rPr>
              <w:t xml:space="preserve"> Theory &amp; Practice of Safety*</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01054B">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3610B1">
            <w:pPr>
              <w:jc w:val="center"/>
              <w:rPr>
                <w:rFonts w:ascii="Arial" w:hAnsi="Arial" w:cs="Arial"/>
                <w:b/>
                <w:sz w:val="16"/>
                <w:szCs w:val="16"/>
              </w:rPr>
            </w:pPr>
            <w:r>
              <w:rPr>
                <w:rFonts w:ascii="Arial" w:hAnsi="Arial" w:cs="Arial"/>
                <w:b/>
                <w:sz w:val="16"/>
                <w:szCs w:val="16"/>
              </w:rPr>
              <w:t>18</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567ACB" w:rsidRPr="005F5D1A" w:rsidRDefault="00567ACB" w:rsidP="00567ACB">
            <w:pPr>
              <w:tabs>
                <w:tab w:val="left" w:pos="1757"/>
                <w:tab w:val="left" w:pos="6059"/>
              </w:tabs>
              <w:rPr>
                <w:b/>
                <w:sz w:val="16"/>
                <w:szCs w:val="16"/>
              </w:rPr>
            </w:pPr>
            <w:r w:rsidRPr="005F5D1A">
              <w:rPr>
                <w:b/>
                <w:sz w:val="16"/>
                <w:szCs w:val="16"/>
              </w:rPr>
              <w:t xml:space="preserve"> Summer:</w:t>
            </w:r>
          </w:p>
          <w:p w:rsidR="00567ACB" w:rsidRPr="005F5D1A" w:rsidRDefault="00567ACB" w:rsidP="00567ACB">
            <w:pPr>
              <w:tabs>
                <w:tab w:val="left" w:pos="1757"/>
                <w:tab w:val="left" w:pos="6059"/>
              </w:tabs>
              <w:rPr>
                <w:b/>
                <w:sz w:val="16"/>
                <w:szCs w:val="16"/>
              </w:rPr>
            </w:pPr>
            <w:r w:rsidRPr="005F5D1A">
              <w:rPr>
                <w:b/>
                <w:sz w:val="16"/>
                <w:szCs w:val="16"/>
              </w:rPr>
              <w:t>HLTH3100 Drugs Education &amp; Behavior*      3  (NO Guarantee offered in the summer so check course offerings)</w:t>
            </w:r>
          </w:p>
          <w:p w:rsidR="00567ACB" w:rsidRPr="005F5D1A" w:rsidRDefault="00567ACB" w:rsidP="00567ACB">
            <w:pPr>
              <w:tabs>
                <w:tab w:val="left" w:pos="1757"/>
                <w:tab w:val="left" w:pos="6059"/>
              </w:tabs>
              <w:rPr>
                <w:b/>
                <w:sz w:val="16"/>
                <w:szCs w:val="16"/>
              </w:rPr>
            </w:pPr>
            <w:r w:rsidRPr="005F5D1A">
              <w:rPr>
                <w:b/>
                <w:sz w:val="16"/>
                <w:szCs w:val="16"/>
              </w:rPr>
              <w:t>HLTH3200 Community Health*                       3  (NO Guarantee offered in the summer so check course offerings)</w:t>
            </w:r>
          </w:p>
          <w:p w:rsidR="00AD71B1" w:rsidRPr="00797E47" w:rsidRDefault="00AD71B1" w:rsidP="005E5E4F">
            <w:pPr>
              <w:tabs>
                <w:tab w:val="left" w:pos="1757"/>
                <w:tab w:val="left" w:pos="6059"/>
              </w:tabs>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567ACB"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567ACB"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567ACB"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567ACB" w:rsidP="00972D60">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567ACB" w:rsidP="005E5E4F">
            <w:pPr>
              <w:jc w:val="center"/>
              <w:rPr>
                <w:rFonts w:ascii="Arial" w:hAnsi="Arial" w:cs="Arial"/>
                <w:b/>
                <w:sz w:val="16"/>
                <w:szCs w:val="16"/>
              </w:rPr>
            </w:pPr>
            <w:r>
              <w:rPr>
                <w:rFonts w:ascii="Arial" w:hAnsi="Arial" w:cs="Arial"/>
                <w:b/>
                <w:sz w:val="16"/>
                <w:szCs w:val="16"/>
              </w:rPr>
              <w:t>4</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0-1</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567ACB" w:rsidRPr="00736D09" w:rsidTr="00B80112">
        <w:trPr>
          <w:trHeight w:val="215"/>
        </w:trPr>
        <w:tc>
          <w:tcPr>
            <w:tcW w:w="1568" w:type="dxa"/>
            <w:vMerge/>
            <w:tcBorders>
              <w:left w:val="nil"/>
              <w:right w:val="single" w:sz="12" w:space="0" w:color="auto"/>
            </w:tcBorders>
          </w:tcPr>
          <w:p w:rsidR="00567ACB" w:rsidRPr="00736D09" w:rsidRDefault="00567ACB" w:rsidP="005E5E4F">
            <w:pPr>
              <w:rPr>
                <w:b/>
                <w:sz w:val="16"/>
                <w:szCs w:val="16"/>
              </w:rPr>
            </w:pPr>
          </w:p>
        </w:tc>
        <w:tc>
          <w:tcPr>
            <w:tcW w:w="3010" w:type="dxa"/>
            <w:shd w:val="clear" w:color="auto" w:fill="auto"/>
          </w:tcPr>
          <w:p w:rsidR="00567ACB" w:rsidRPr="00362D16" w:rsidRDefault="00362D16" w:rsidP="00FB5B3B">
            <w:pPr>
              <w:rPr>
                <w:rFonts w:ascii="Arial" w:hAnsi="Arial" w:cs="Arial"/>
                <w:b/>
                <w:sz w:val="16"/>
                <w:szCs w:val="16"/>
              </w:rPr>
            </w:pPr>
            <w:r w:rsidRPr="00362D16">
              <w:rPr>
                <w:rFonts w:ascii="Arial" w:hAnsi="Arial" w:cs="Arial"/>
                <w:b/>
                <w:sz w:val="16"/>
                <w:szCs w:val="16"/>
              </w:rPr>
              <w:t xml:space="preserve">EDUC2450 Pre-Service Teacher </w:t>
            </w:r>
            <w:r w:rsidR="00FB5B3B">
              <w:rPr>
                <w:rFonts w:ascii="Arial" w:hAnsi="Arial" w:cs="Arial"/>
                <w:b/>
                <w:sz w:val="16"/>
                <w:szCs w:val="16"/>
              </w:rPr>
              <w:t>Education Seminar</w:t>
            </w:r>
            <w:r w:rsidR="006277A1">
              <w:rPr>
                <w:rFonts w:ascii="Arial" w:hAnsi="Arial" w:cs="Arial"/>
                <w:b/>
                <w:sz w:val="16"/>
                <w:szCs w:val="16"/>
              </w:rPr>
              <w:t xml:space="preserve"> </w:t>
            </w:r>
            <w:bookmarkStart w:id="8" w:name="_GoBack"/>
            <w:r w:rsidR="006277A1" w:rsidRPr="006277A1">
              <w:rPr>
                <w:rFonts w:ascii="Arial" w:hAnsi="Arial" w:cs="Arial"/>
                <w:b/>
                <w:i/>
                <w:sz w:val="16"/>
                <w:szCs w:val="16"/>
              </w:rPr>
              <w:t>is waived</w:t>
            </w:r>
            <w:bookmarkEnd w:id="8"/>
          </w:p>
        </w:tc>
        <w:tc>
          <w:tcPr>
            <w:tcW w:w="611" w:type="dxa"/>
            <w:shd w:val="clear" w:color="auto" w:fill="auto"/>
          </w:tcPr>
          <w:p w:rsidR="00567ACB" w:rsidRPr="00362D16" w:rsidRDefault="00567ACB" w:rsidP="005E5E4F">
            <w:pPr>
              <w:jc w:val="center"/>
              <w:rPr>
                <w:rFonts w:ascii="Arial" w:hAnsi="Arial" w:cs="Arial"/>
                <w:b/>
                <w:sz w:val="16"/>
                <w:szCs w:val="16"/>
              </w:rPr>
            </w:pPr>
          </w:p>
        </w:tc>
        <w:tc>
          <w:tcPr>
            <w:tcW w:w="708" w:type="dxa"/>
            <w:shd w:val="clear" w:color="auto" w:fill="auto"/>
          </w:tcPr>
          <w:p w:rsidR="00567ACB" w:rsidRPr="00362D16" w:rsidRDefault="00362D16" w:rsidP="005E5E4F">
            <w:pPr>
              <w:jc w:val="center"/>
              <w:rPr>
                <w:rFonts w:ascii="Arial" w:hAnsi="Arial" w:cs="Arial"/>
                <w:b/>
                <w:sz w:val="16"/>
                <w:szCs w:val="16"/>
              </w:rPr>
            </w:pPr>
            <w:r w:rsidRPr="00362D16">
              <w:rPr>
                <w:rFonts w:ascii="Arial" w:hAnsi="Arial" w:cs="Arial"/>
                <w:b/>
                <w:sz w:val="16"/>
                <w:szCs w:val="16"/>
              </w:rPr>
              <w:t>0</w:t>
            </w:r>
          </w:p>
        </w:tc>
        <w:tc>
          <w:tcPr>
            <w:tcW w:w="665" w:type="dxa"/>
            <w:tcBorders>
              <w:right w:val="single" w:sz="4" w:space="0" w:color="auto"/>
            </w:tcBorders>
            <w:shd w:val="clear" w:color="auto" w:fill="auto"/>
          </w:tcPr>
          <w:p w:rsidR="00567ACB" w:rsidRPr="009024FE" w:rsidRDefault="00362D16"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567ACB" w:rsidRPr="009024FE" w:rsidRDefault="00567ACB" w:rsidP="000D6AD5">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567ACB" w:rsidRDefault="00567ACB" w:rsidP="005E5E4F">
            <w:pPr>
              <w:jc w:val="center"/>
              <w:rPr>
                <w:rFonts w:ascii="Arial" w:hAnsi="Arial" w:cs="Arial"/>
                <w:sz w:val="16"/>
                <w:szCs w:val="16"/>
              </w:rPr>
            </w:pPr>
            <w:r>
              <w:rPr>
                <w:rFonts w:ascii="Arial" w:hAnsi="Arial" w:cs="Arial"/>
                <w:sz w:val="16"/>
                <w:szCs w:val="16"/>
              </w:rPr>
              <w:t>5a</w:t>
            </w:r>
          </w:p>
        </w:tc>
        <w:tc>
          <w:tcPr>
            <w:tcW w:w="679" w:type="dxa"/>
          </w:tcPr>
          <w:p w:rsidR="00567ACB" w:rsidRPr="009024FE" w:rsidRDefault="00567ACB" w:rsidP="005E5E4F">
            <w:pPr>
              <w:jc w:val="center"/>
              <w:rPr>
                <w:rFonts w:ascii="Arial" w:hAnsi="Arial" w:cs="Arial"/>
                <w:sz w:val="16"/>
                <w:szCs w:val="16"/>
              </w:rPr>
            </w:pPr>
            <w:r>
              <w:rPr>
                <w:rFonts w:ascii="Arial" w:hAnsi="Arial" w:cs="Arial"/>
                <w:sz w:val="16"/>
                <w:szCs w:val="16"/>
              </w:rPr>
              <w:t>3</w:t>
            </w:r>
          </w:p>
        </w:tc>
        <w:tc>
          <w:tcPr>
            <w:tcW w:w="770" w:type="dxa"/>
          </w:tcPr>
          <w:p w:rsidR="00567ACB" w:rsidRPr="00797E47" w:rsidRDefault="00567ACB" w:rsidP="005E5E4F">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972D60">
            <w:pPr>
              <w:jc w:val="center"/>
              <w:rPr>
                <w:rFonts w:ascii="Arial" w:hAnsi="Arial" w:cs="Arial"/>
                <w:b/>
                <w:sz w:val="16"/>
                <w:szCs w:val="16"/>
              </w:rPr>
            </w:pPr>
            <w:r>
              <w:rPr>
                <w:rFonts w:ascii="Arial" w:hAnsi="Arial" w:cs="Arial"/>
                <w:b/>
                <w:sz w:val="16"/>
                <w:szCs w:val="16"/>
              </w:rPr>
              <w:t>15-16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567ACB">
            <w:pPr>
              <w:jc w:val="center"/>
              <w:rPr>
                <w:rFonts w:ascii="Arial" w:hAnsi="Arial" w:cs="Arial"/>
                <w:b/>
                <w:sz w:val="16"/>
                <w:szCs w:val="16"/>
              </w:rPr>
            </w:pPr>
            <w:r w:rsidRPr="00797E47">
              <w:rPr>
                <w:rFonts w:ascii="Arial" w:hAnsi="Arial" w:cs="Arial"/>
                <w:b/>
                <w:sz w:val="16"/>
                <w:szCs w:val="16"/>
              </w:rPr>
              <w:t>1</w:t>
            </w:r>
            <w:r w:rsidR="00567ACB">
              <w:rPr>
                <w:rFonts w:ascii="Arial" w:hAnsi="Arial" w:cs="Arial"/>
                <w:b/>
                <w:sz w:val="16"/>
                <w:szCs w:val="16"/>
              </w:rPr>
              <w:t>8</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Notes:</w:t>
            </w:r>
            <w:r w:rsidR="00567ACB">
              <w:rPr>
                <w:rFonts w:ascii="Arial" w:hAnsi="Arial" w:cs="Arial"/>
                <w:b/>
                <w:sz w:val="16"/>
                <w:szCs w:val="16"/>
              </w:rPr>
              <w:t xml:space="preserve"> </w:t>
            </w:r>
            <w:r w:rsidR="00567ACB">
              <w:rPr>
                <w:b/>
                <w:sz w:val="16"/>
                <w:szCs w:val="16"/>
              </w:rPr>
              <w:t xml:space="preserve"> It is beneficial for student to take HLTH1100 First Aid as close to graduation as possible for the Coaching requirements by the State of Iowa.</w:t>
            </w:r>
            <w:r w:rsidRPr="00797E47">
              <w:rPr>
                <w:rFonts w:ascii="Arial" w:hAnsi="Arial" w:cs="Arial"/>
                <w:b/>
                <w:sz w:val="16"/>
                <w:szCs w:val="16"/>
              </w:rPr>
              <w:t xml:space="preserve">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9024FE">
              <w:rPr>
                <w:rFonts w:ascii="Arial" w:hAnsi="Arial" w:cs="Arial"/>
                <w:b/>
                <w:sz w:val="16"/>
                <w:szCs w:val="16"/>
              </w:rPr>
              <w:t>HLTH3120 Human Sexuality</w:t>
            </w:r>
            <w:r>
              <w:rPr>
                <w:rFonts w:ascii="Arial" w:hAnsi="Arial" w:cs="Arial"/>
                <w:b/>
                <w:sz w:val="16"/>
                <w:szCs w:val="16"/>
              </w:rPr>
              <w: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297E7F" w:rsidRDefault="00567ACB" w:rsidP="006C568E">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567ACB" w:rsidP="005E5E4F">
            <w:pPr>
              <w:jc w:val="center"/>
              <w:rPr>
                <w:rFonts w:ascii="Arial" w:hAnsi="Arial" w:cs="Arial"/>
                <w:b/>
                <w:sz w:val="16"/>
                <w:szCs w:val="16"/>
              </w:rPr>
            </w:pPr>
            <w:r>
              <w:rPr>
                <w:rFonts w:ascii="Arial" w:hAnsi="Arial" w:cs="Arial"/>
                <w:b/>
                <w:sz w:val="16"/>
                <w:szCs w:val="16"/>
              </w:rPr>
              <w:t>2</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567ACB" w:rsidP="006C568E">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FC67D3" w:rsidP="005E5E4F">
            <w:pPr>
              <w:jc w:val="center"/>
              <w:rPr>
                <w:rFonts w:ascii="Arial" w:hAnsi="Arial" w:cs="Arial"/>
                <w:b/>
                <w:sz w:val="16"/>
                <w:szCs w:val="16"/>
              </w:rPr>
            </w:pPr>
            <w:r>
              <w:rPr>
                <w:rFonts w:ascii="Arial" w:hAnsi="Arial" w:cs="Arial"/>
                <w:b/>
                <w:sz w:val="16"/>
                <w:szCs w:val="16"/>
              </w:rPr>
              <w:t>1</w:t>
            </w:r>
            <w:r w:rsidR="00AD71B1">
              <w:rPr>
                <w:rFonts w:ascii="Arial" w:hAnsi="Arial" w:cs="Arial"/>
                <w:b/>
                <w:sz w:val="16"/>
                <w:szCs w:val="16"/>
              </w:rPr>
              <w:t>4</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rsidR="00AD71B1" w:rsidRPr="00297E7F" w:rsidRDefault="00AD71B1" w:rsidP="00297E7F">
            <w:pPr>
              <w:rPr>
                <w:rFonts w:ascii="Arial" w:hAnsi="Arial" w:cs="Arial"/>
                <w:b/>
                <w:sz w:val="16"/>
                <w:szCs w:val="16"/>
              </w:rPr>
            </w:pP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FC67D3" w:rsidP="005E5E4F">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362D16">
        <w:trPr>
          <w:trHeight w:val="233"/>
        </w:trPr>
        <w:tc>
          <w:tcPr>
            <w:tcW w:w="1568" w:type="dxa"/>
            <w:tcBorders>
              <w:top w:val="nil"/>
              <w:left w:val="nil"/>
              <w:bottom w:val="single" w:sz="4" w:space="0" w:color="auto"/>
              <w:right w:val="single" w:sz="4" w:space="0" w:color="auto"/>
            </w:tcBorders>
          </w:tcPr>
          <w:p w:rsidR="00972D60" w:rsidRPr="00736D09" w:rsidRDefault="00362D16" w:rsidP="00972D60">
            <w:pPr>
              <w:rPr>
                <w:b/>
                <w:sz w:val="16"/>
                <w:szCs w:val="16"/>
              </w:rPr>
            </w:pPr>
            <w:r>
              <w:rPr>
                <w:b/>
                <w:noProof/>
                <w:sz w:val="16"/>
                <w:szCs w:val="16"/>
              </w:rPr>
              <w:lastRenderedPageBreak/>
              <w:t>7/22/2019</w:t>
            </w:r>
          </w:p>
        </w:tc>
        <w:tc>
          <w:tcPr>
            <w:tcW w:w="9844" w:type="dxa"/>
            <w:gridSpan w:val="8"/>
            <w:tcBorders>
              <w:left w:val="single" w:sz="4" w:space="0" w:color="auto"/>
              <w:bottom w:val="single" w:sz="4" w:space="0" w:color="auto"/>
            </w:tcBorders>
          </w:tcPr>
          <w:p w:rsidR="00972D60" w:rsidRPr="00797E47" w:rsidRDefault="00972D60" w:rsidP="00FC67D3">
            <w:pPr>
              <w:rPr>
                <w:rFonts w:ascii="Arial" w:hAnsi="Arial" w:cs="Arial"/>
                <w:b/>
                <w:sz w:val="16"/>
                <w:szCs w:val="16"/>
              </w:rPr>
            </w:pPr>
            <w:r w:rsidRPr="00797E47">
              <w:rPr>
                <w:rFonts w:ascii="Arial" w:hAnsi="Arial" w:cs="Arial"/>
                <w:b/>
                <w:sz w:val="16"/>
                <w:szCs w:val="16"/>
              </w:rPr>
              <w:t xml:space="preserve">Notes: </w:t>
            </w:r>
            <w:r w:rsidR="00FC67D3" w:rsidRPr="000874DE">
              <w:rPr>
                <w:sz w:val="16"/>
                <w:szCs w:val="18"/>
              </w:rPr>
              <w:t xml:space="preserve"> It is beneficial for student to take HLTH1100 First Aid as close to graduation as possible for the Coaching requirements by the State of Iowa.</w:t>
            </w:r>
            <w:r w:rsidR="00FC67D3" w:rsidRPr="00797E47">
              <w:rPr>
                <w:rFonts w:ascii="Arial" w:hAnsi="Arial" w:cs="Arial"/>
                <w:b/>
                <w:sz w:val="16"/>
                <w:szCs w:val="16"/>
              </w:rPr>
              <w:fldChar w:fldCharType="begin">
                <w:ffData>
                  <w:name w:val="Text3"/>
                  <w:enabled/>
                  <w:calcOnExit w:val="0"/>
                  <w:textInput/>
                </w:ffData>
              </w:fldChar>
            </w:r>
            <w:r w:rsidR="00FC67D3" w:rsidRPr="00797E47">
              <w:rPr>
                <w:rFonts w:ascii="Arial" w:hAnsi="Arial" w:cs="Arial"/>
                <w:b/>
                <w:sz w:val="16"/>
                <w:szCs w:val="16"/>
              </w:rPr>
              <w:instrText xml:space="preserve"> FORMTEXT </w:instrText>
            </w:r>
            <w:r w:rsidR="00FC67D3" w:rsidRPr="00797E47">
              <w:rPr>
                <w:rFonts w:ascii="Arial" w:hAnsi="Arial" w:cs="Arial"/>
                <w:b/>
                <w:sz w:val="16"/>
                <w:szCs w:val="16"/>
              </w:rPr>
            </w:r>
            <w:r w:rsidR="00FC67D3" w:rsidRPr="00797E47">
              <w:rPr>
                <w:rFonts w:ascii="Arial" w:hAnsi="Arial" w:cs="Arial"/>
                <w:b/>
                <w:sz w:val="16"/>
                <w:szCs w:val="16"/>
              </w:rPr>
              <w:fldChar w:fldCharType="separate"/>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sz w:val="16"/>
                <w:szCs w:val="16"/>
              </w:rPr>
              <w:fldChar w:fldCharType="end"/>
            </w:r>
            <w:r w:rsidR="00FC67D3" w:rsidRPr="00797E47">
              <w:rPr>
                <w:rFonts w:ascii="Arial" w:hAnsi="Arial" w:cs="Arial"/>
                <w:b/>
                <w:sz w:val="16"/>
                <w:szCs w:val="16"/>
              </w:rPr>
              <w:t xml:space="preserve"> </w:t>
            </w:r>
          </w:p>
        </w:tc>
      </w:tr>
      <w:tr w:rsidR="00972D60" w:rsidRPr="00736D09" w:rsidTr="00362D16">
        <w:trPr>
          <w:trHeight w:val="845"/>
        </w:trPr>
        <w:tc>
          <w:tcPr>
            <w:tcW w:w="11412" w:type="dxa"/>
            <w:gridSpan w:val="9"/>
            <w:tcBorders>
              <w:top w:val="single" w:sz="4" w:space="0" w:color="auto"/>
              <w:left w:val="single" w:sz="4" w:space="0" w:color="auto"/>
            </w:tcBorders>
          </w:tcPr>
          <w:p w:rsidR="00972D60" w:rsidRPr="0087742D" w:rsidRDefault="008B5B98" w:rsidP="00972D60">
            <w:pPr>
              <w:pStyle w:val="Default"/>
              <w:rPr>
                <w:b/>
                <w:sz w:val="16"/>
                <w:szCs w:val="16"/>
              </w:rPr>
            </w:pPr>
            <w:r w:rsidRPr="00C7354B">
              <w:rPr>
                <w:b/>
                <w:sz w:val="16"/>
                <w:szCs w:val="16"/>
              </w:rPr>
              <w:t>Note to advisor: If students wish to not take summer courses, see Option 1 for majors/concentrations.  While listed as such, there is NO GUARENTEE of summer course offerings.  Check with Course Instructor</w:t>
            </w:r>
            <w:r>
              <w:rPr>
                <w:b/>
                <w:sz w:val="16"/>
                <w:szCs w:val="16"/>
              </w:rPr>
              <w:t>.</w:t>
            </w:r>
          </w:p>
          <w:p w:rsidR="00972D60" w:rsidRDefault="00972D60" w:rsidP="00972D60">
            <w:pPr>
              <w:rPr>
                <w:b/>
                <w:sz w:val="16"/>
                <w:szCs w:val="16"/>
              </w:rPr>
            </w:pPr>
            <w:r w:rsidRPr="0087742D">
              <w:rPr>
                <w:b/>
                <w:sz w:val="16"/>
                <w:szCs w:val="16"/>
              </w:rPr>
              <w:t>This if for Coaching Authorization/Certification NOT dual major HMS-Coaching Concentration</w:t>
            </w:r>
            <w:r>
              <w:rPr>
                <w:b/>
                <w:sz w:val="16"/>
                <w:szCs w:val="16"/>
              </w:rPr>
              <w:t xml:space="preserve"> seekers</w:t>
            </w:r>
            <w:r w:rsidR="00AD71B1">
              <w:rPr>
                <w:b/>
                <w:sz w:val="16"/>
                <w:szCs w:val="16"/>
              </w:rPr>
              <w:br/>
            </w:r>
            <w:r w:rsidR="00AD71B1" w:rsidRPr="00164B1F">
              <w:rPr>
                <w:sz w:val="20"/>
                <w:szCs w:val="20"/>
              </w:rPr>
              <w:t>*May be offered in Summer Session online but NO GUARANTEE</w:t>
            </w:r>
          </w:p>
          <w:p w:rsidR="00972D60" w:rsidRPr="00797E47" w:rsidRDefault="00972D60" w:rsidP="00972D60">
            <w:pPr>
              <w:rPr>
                <w:rFonts w:ascii="Times New Roman" w:hAnsi="Times New Roman" w:cs="Times New Roman"/>
                <w:sz w:val="16"/>
                <w:szCs w:val="16"/>
              </w:rPr>
            </w:pPr>
            <w:r w:rsidRPr="00797E47">
              <w:rPr>
                <w:rFonts w:ascii="Times New Roman" w:hAnsi="Times New Roman" w:cs="Times New Roman"/>
                <w:sz w:val="16"/>
                <w:szCs w:val="16"/>
              </w:rPr>
              <w:t>*</w:t>
            </w:r>
            <w:r w:rsidR="00AD71B1">
              <w:rPr>
                <w:rFonts w:ascii="Times New Roman" w:hAnsi="Times New Roman" w:cs="Times New Roman"/>
                <w:sz w:val="16"/>
                <w:szCs w:val="16"/>
              </w:rPr>
              <w:t>*</w:t>
            </w:r>
            <w:r w:rsidRPr="00797E47">
              <w:rPr>
                <w:rFonts w:ascii="Times New Roman" w:hAnsi="Times New Roman" w:cs="Times New Roman"/>
                <w:sz w:val="16"/>
                <w:szCs w:val="16"/>
              </w:rPr>
              <w:t>HLTH3900 Adv. Topics in Health can be repeated for credit 2 times so long as the topic is not the same</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37981"/>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54933"/>
    <w:rsid w:val="003610B1"/>
    <w:rsid w:val="00362D16"/>
    <w:rsid w:val="00364D81"/>
    <w:rsid w:val="003715A9"/>
    <w:rsid w:val="00386DE2"/>
    <w:rsid w:val="00392F25"/>
    <w:rsid w:val="003B5505"/>
    <w:rsid w:val="004228D0"/>
    <w:rsid w:val="004648BC"/>
    <w:rsid w:val="004A56D8"/>
    <w:rsid w:val="004B1FFD"/>
    <w:rsid w:val="004D3618"/>
    <w:rsid w:val="004E3803"/>
    <w:rsid w:val="004E7B20"/>
    <w:rsid w:val="004F657C"/>
    <w:rsid w:val="00567ACB"/>
    <w:rsid w:val="00596DDC"/>
    <w:rsid w:val="005A4E45"/>
    <w:rsid w:val="005B67D0"/>
    <w:rsid w:val="005B7982"/>
    <w:rsid w:val="005E4CC8"/>
    <w:rsid w:val="005E5E4F"/>
    <w:rsid w:val="006001C0"/>
    <w:rsid w:val="00604C58"/>
    <w:rsid w:val="00624948"/>
    <w:rsid w:val="006277A1"/>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B5B98"/>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33C73"/>
    <w:rsid w:val="00E45B89"/>
    <w:rsid w:val="00E76617"/>
    <w:rsid w:val="00EC05E8"/>
    <w:rsid w:val="00EF31F0"/>
    <w:rsid w:val="00F11B14"/>
    <w:rsid w:val="00F31168"/>
    <w:rsid w:val="00F65AF1"/>
    <w:rsid w:val="00F671B8"/>
    <w:rsid w:val="00F81A7D"/>
    <w:rsid w:val="00FB5B3B"/>
    <w:rsid w:val="00FC2643"/>
    <w:rsid w:val="00FC67D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FBC817"/>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3E97-5689-4139-9F6F-9A500857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2017-02-14T19:41:00Z</cp:lastPrinted>
  <dcterms:created xsi:type="dcterms:W3CDTF">2019-09-20T14:19:00Z</dcterms:created>
  <dcterms:modified xsi:type="dcterms:W3CDTF">2020-08-17T14:43:00Z</dcterms:modified>
</cp:coreProperties>
</file>